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F624D7"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1B3C9A42" w:rsidR="006D3771" w:rsidRPr="008B6B20" w:rsidRDefault="0066401C" w:rsidP="006D3771">
            <w:pPr>
              <w:jc w:val="center"/>
              <w:rPr>
                <w:sz w:val="32"/>
                <w:szCs w:val="32"/>
                <w:lang w:val="en-GB"/>
              </w:rPr>
            </w:pPr>
            <w:r>
              <w:rPr>
                <w:sz w:val="32"/>
                <w:szCs w:val="32"/>
                <w:lang w:val="en-GB"/>
              </w:rPr>
              <w:t>F</w:t>
            </w:r>
            <w:r w:rsidR="004C7D34">
              <w:rPr>
                <w:sz w:val="32"/>
                <w:szCs w:val="32"/>
                <w:lang w:val="en-GB"/>
              </w:rPr>
              <w:t>rance</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31C8CFCC" w:rsidR="008B6B20" w:rsidRPr="00574B1E" w:rsidRDefault="00000000" w:rsidP="008B6B20">
      <w:pPr>
        <w:rPr>
          <w:rFonts w:ascii="Calibri" w:hAnsi="Calibri" w:cs="Calibri"/>
          <w:lang w:val="en-US"/>
        </w:rPr>
      </w:pPr>
      <w:hyperlink r:id="rId11" w:history="1">
        <w:r w:rsidR="004C7D34">
          <w:rPr>
            <w:rStyle w:val="Hyperlink"/>
            <w:rFonts w:ascii="Calibri" w:hAnsi="Calibri" w:cs="Calibri"/>
            <w:lang w:val="en-US"/>
          </w:rPr>
          <w:t>CEPEJ Evaluation Report - Country Profiles – France</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6BB7F1B4"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4C7D34">
          <w:rPr>
            <w:rStyle w:val="Hyperlink"/>
            <w:rFonts w:ascii="Calibri" w:hAnsi="Calibri" w:cs="Calibri"/>
            <w:lang w:val="en-US"/>
          </w:rPr>
          <w:t>CEPEJ Country fiche - Scoreboard - France (2022 data)</w:t>
        </w:r>
      </w:hyperlink>
    </w:p>
    <w:p w14:paraId="06E798A9" w14:textId="77777777" w:rsidR="008B6B20"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71AB7984" w14:textId="77777777" w:rsidR="000A2CBC" w:rsidRDefault="000A2CBC" w:rsidP="008B6B20">
      <w:pPr>
        <w:autoSpaceDE w:val="0"/>
        <w:autoSpaceDN w:val="0"/>
        <w:jc w:val="both"/>
        <w:rPr>
          <w:rFonts w:ascii="Calibri" w:hAnsi="Calibri" w:cs="Calibri"/>
          <w:color w:val="000000"/>
          <w:lang w:val="en-US"/>
        </w:rPr>
      </w:pPr>
    </w:p>
    <w:p w14:paraId="3649890F" w14:textId="77777777" w:rsidR="000A2CBC" w:rsidRPr="000A2CBC" w:rsidRDefault="000A2CBC" w:rsidP="000A2CBC">
      <w:pPr>
        <w:numPr>
          <w:ilvl w:val="0"/>
          <w:numId w:val="13"/>
        </w:numPr>
        <w:autoSpaceDE w:val="0"/>
        <w:autoSpaceDN w:val="0"/>
        <w:jc w:val="both"/>
        <w:rPr>
          <w:rFonts w:ascii="Calibri" w:hAnsi="Calibri" w:cs="Calibri"/>
          <w:i/>
          <w:iCs/>
          <w:color w:val="000000"/>
          <w:lang w:val="en-GB"/>
        </w:rPr>
      </w:pPr>
      <w:r w:rsidRPr="000A2CBC">
        <w:rPr>
          <w:rFonts w:ascii="Calibri" w:hAnsi="Calibri" w:cs="Calibri"/>
          <w:i/>
          <w:iCs/>
          <w:color w:val="000000"/>
          <w:lang w:val="en-GB"/>
        </w:rPr>
        <w:t>IMPLEMENTATION BY THE PUBLIC ADMINISTRATION AND STATE INSTITUTIONS OF FINAL COURT DECISIONS</w:t>
      </w:r>
    </w:p>
    <w:p w14:paraId="3E1BD9A5" w14:textId="77777777" w:rsidR="000A2CBC" w:rsidRPr="000A2CBC" w:rsidRDefault="000A2CBC" w:rsidP="000A2CBC">
      <w:pPr>
        <w:autoSpaceDE w:val="0"/>
        <w:autoSpaceDN w:val="0"/>
        <w:jc w:val="both"/>
        <w:rPr>
          <w:rFonts w:ascii="Calibri" w:hAnsi="Calibri" w:cs="Calibri"/>
          <w:color w:val="000000"/>
          <w:lang w:val="en-GB"/>
        </w:rPr>
      </w:pPr>
    </w:p>
    <w:p w14:paraId="4D795693" w14:textId="77777777" w:rsidR="000A2CBC" w:rsidRPr="000A2CBC" w:rsidRDefault="000A2CBC" w:rsidP="000A2CBC">
      <w:pPr>
        <w:autoSpaceDE w:val="0"/>
        <w:autoSpaceDN w:val="0"/>
        <w:jc w:val="both"/>
        <w:rPr>
          <w:rFonts w:ascii="Calibri" w:hAnsi="Calibri" w:cs="Calibri"/>
          <w:color w:val="000000"/>
          <w:lang w:val="en-US"/>
        </w:rPr>
      </w:pPr>
      <w:r w:rsidRPr="000A2CBC">
        <w:rPr>
          <w:rFonts w:ascii="Calibri" w:hAnsi="Calibri" w:cs="Calibri"/>
          <w:color w:val="000000"/>
          <w:u w:val="single"/>
          <w:lang w:val="en-US"/>
        </w:rPr>
        <w:t>M.K. and others</w:t>
      </w:r>
      <w:r w:rsidRPr="000A2CBC">
        <w:rPr>
          <w:rFonts w:ascii="Calibri" w:hAnsi="Calibri" w:cs="Calibri"/>
          <w:color w:val="000000"/>
          <w:lang w:val="en-US"/>
        </w:rPr>
        <w:t xml:space="preserve"> (No. 34349/18) (STAND): refusal to execute domestic judicial orders to accommodate urgently asylum-seekers and their children (violations of Article 6 § 1). Three similar judgments, final on 23 November 2023: </w:t>
      </w:r>
      <w:r w:rsidRPr="000A2CBC">
        <w:rPr>
          <w:rFonts w:ascii="Calibri" w:hAnsi="Calibri" w:cs="Calibri"/>
          <w:i/>
          <w:iCs/>
          <w:color w:val="000000"/>
          <w:lang w:val="en-US"/>
        </w:rPr>
        <w:t>T.A. and Y.T.</w:t>
      </w:r>
      <w:r w:rsidRPr="000A2CBC">
        <w:rPr>
          <w:rFonts w:ascii="Calibri" w:hAnsi="Calibri" w:cs="Calibri"/>
          <w:color w:val="000000"/>
          <w:lang w:val="en-US"/>
        </w:rPr>
        <w:t xml:space="preserve"> (No. 14787/19), </w:t>
      </w:r>
      <w:r w:rsidRPr="000A2CBC">
        <w:rPr>
          <w:rFonts w:ascii="Calibri" w:hAnsi="Calibri" w:cs="Calibri"/>
          <w:i/>
          <w:iCs/>
          <w:color w:val="000000"/>
          <w:lang w:val="en-US"/>
        </w:rPr>
        <w:t>C.C.</w:t>
      </w:r>
      <w:r w:rsidRPr="000A2CBC">
        <w:rPr>
          <w:rFonts w:ascii="Calibri" w:hAnsi="Calibri" w:cs="Calibri"/>
          <w:color w:val="000000"/>
          <w:lang w:val="en-US"/>
        </w:rPr>
        <w:t xml:space="preserve"> (No. 48689/18) and </w:t>
      </w:r>
      <w:r w:rsidRPr="000A2CBC">
        <w:rPr>
          <w:rFonts w:ascii="Calibri" w:hAnsi="Calibri" w:cs="Calibri"/>
          <w:i/>
          <w:iCs/>
          <w:color w:val="000000"/>
          <w:lang w:val="en-US"/>
        </w:rPr>
        <w:t>S.A. and others</w:t>
      </w:r>
      <w:r w:rsidRPr="000A2CBC">
        <w:rPr>
          <w:rFonts w:ascii="Calibri" w:hAnsi="Calibri" w:cs="Calibri"/>
          <w:color w:val="000000"/>
          <w:lang w:val="en-US"/>
        </w:rPr>
        <w:t xml:space="preserve"> (No. 40429/19).</w:t>
      </w:r>
    </w:p>
    <w:p w14:paraId="42FB11C1" w14:textId="77777777" w:rsidR="000A2CBC" w:rsidRPr="000A2CBC" w:rsidRDefault="000A2CBC" w:rsidP="000A2CBC">
      <w:pPr>
        <w:autoSpaceDE w:val="0"/>
        <w:autoSpaceDN w:val="0"/>
        <w:jc w:val="both"/>
        <w:rPr>
          <w:rFonts w:ascii="Calibri" w:hAnsi="Calibri" w:cs="Calibri"/>
          <w:b/>
          <w:bCs/>
          <w:color w:val="000000"/>
          <w:lang w:val="en-US"/>
        </w:rPr>
      </w:pPr>
    </w:p>
    <w:p w14:paraId="34E4F67A" w14:textId="77777777" w:rsidR="000A2CBC" w:rsidRPr="000A2CBC" w:rsidRDefault="000A2CBC" w:rsidP="000A2CBC">
      <w:pPr>
        <w:autoSpaceDE w:val="0"/>
        <w:autoSpaceDN w:val="0"/>
        <w:jc w:val="both"/>
        <w:rPr>
          <w:rFonts w:ascii="Calibri" w:hAnsi="Calibri" w:cs="Calibri"/>
          <w:color w:val="000000"/>
        </w:rPr>
      </w:pPr>
      <w:proofErr w:type="spellStart"/>
      <w:r w:rsidRPr="000A2CBC">
        <w:rPr>
          <w:rFonts w:ascii="Calibri" w:hAnsi="Calibri" w:cs="Calibri"/>
          <w:color w:val="000000"/>
        </w:rPr>
        <w:t>Presentation</w:t>
      </w:r>
      <w:proofErr w:type="spellEnd"/>
      <w:r w:rsidRPr="000A2CBC">
        <w:rPr>
          <w:rFonts w:ascii="Calibri" w:hAnsi="Calibri" w:cs="Calibri"/>
          <w:color w:val="000000"/>
        </w:rPr>
        <w:t xml:space="preserve"> on </w:t>
      </w:r>
      <w:proofErr w:type="spellStart"/>
      <w:r w:rsidRPr="000A2CBC">
        <w:rPr>
          <w:rFonts w:ascii="Calibri" w:hAnsi="Calibri" w:cs="Calibri"/>
          <w:color w:val="000000"/>
        </w:rPr>
        <w:t>Hudoc</w:t>
      </w:r>
      <w:proofErr w:type="spellEnd"/>
      <w:r w:rsidRPr="000A2CBC">
        <w:rPr>
          <w:rFonts w:ascii="Calibri" w:hAnsi="Calibri" w:cs="Calibri"/>
          <w:color w:val="000000"/>
        </w:rPr>
        <w:t xml:space="preserve"> </w:t>
      </w:r>
      <w:proofErr w:type="spellStart"/>
      <w:r w:rsidRPr="000A2CBC">
        <w:rPr>
          <w:rFonts w:ascii="Calibri" w:hAnsi="Calibri" w:cs="Calibri"/>
          <w:color w:val="000000"/>
        </w:rPr>
        <w:t>exec</w:t>
      </w:r>
      <w:proofErr w:type="spellEnd"/>
      <w:r w:rsidRPr="000A2CBC">
        <w:rPr>
          <w:rFonts w:ascii="Calibri" w:hAnsi="Calibri" w:cs="Calibri"/>
          <w:color w:val="000000"/>
        </w:rPr>
        <w:t xml:space="preserve">: </w:t>
      </w:r>
      <w:hyperlink r:id="rId14" w:anchor="{%22fulltext%22:[%22M.K.%20et%20autres%22],%22execidentifier%22:[%22004-62868%22]}" w:history="1">
        <w:r w:rsidRPr="000A2CBC">
          <w:rPr>
            <w:rStyle w:val="Hyperlink"/>
            <w:rFonts w:ascii="Calibri" w:hAnsi="Calibri" w:cs="Calibri"/>
          </w:rPr>
          <w:t>M.K. ET AUTRES c. France</w:t>
        </w:r>
      </w:hyperlink>
    </w:p>
    <w:p w14:paraId="4ED0663C" w14:textId="77777777" w:rsidR="000A2CBC" w:rsidRPr="000A2CBC" w:rsidRDefault="000A2CBC" w:rsidP="000A2CBC">
      <w:pPr>
        <w:autoSpaceDE w:val="0"/>
        <w:autoSpaceDN w:val="0"/>
        <w:jc w:val="both"/>
        <w:rPr>
          <w:rFonts w:ascii="Calibri" w:hAnsi="Calibri" w:cs="Calibri"/>
          <w:color w:val="000000"/>
          <w:lang w:val="en-US"/>
        </w:rPr>
      </w:pPr>
      <w:r w:rsidRPr="000A2CBC">
        <w:rPr>
          <w:rFonts w:ascii="Calibri" w:hAnsi="Calibri" w:cs="Calibri"/>
          <w:color w:val="000000"/>
          <w:lang w:val="en-GB"/>
        </w:rPr>
        <w:t xml:space="preserve">Latest submission: </w:t>
      </w:r>
      <w:hyperlink r:id="rId15" w:tgtFrame="_blank" w:history="1">
        <w:r w:rsidRPr="000A2CBC">
          <w:rPr>
            <w:rStyle w:val="Hyperlink"/>
            <w:rFonts w:ascii="Calibri" w:hAnsi="Calibri" w:cs="Calibri"/>
            <w:lang w:val="en-US"/>
          </w:rPr>
          <w:t>DH-DD(2023)1090</w:t>
        </w:r>
      </w:hyperlink>
    </w:p>
    <w:p w14:paraId="2BEEE351" w14:textId="77777777" w:rsidR="000A2CBC" w:rsidRPr="000A2CBC" w:rsidRDefault="000A2CBC" w:rsidP="000A2CBC">
      <w:pPr>
        <w:autoSpaceDE w:val="0"/>
        <w:autoSpaceDN w:val="0"/>
        <w:jc w:val="both"/>
        <w:rPr>
          <w:rFonts w:ascii="Calibri" w:hAnsi="Calibri" w:cs="Calibri"/>
          <w:color w:val="000000"/>
          <w:lang w:val="en-US"/>
        </w:rPr>
      </w:pPr>
    </w:p>
    <w:p w14:paraId="069353E6" w14:textId="77777777" w:rsidR="000A2CBC" w:rsidRPr="000A2CBC" w:rsidRDefault="000A2CBC" w:rsidP="000A2CBC">
      <w:pPr>
        <w:numPr>
          <w:ilvl w:val="0"/>
          <w:numId w:val="14"/>
        </w:numPr>
        <w:autoSpaceDE w:val="0"/>
        <w:autoSpaceDN w:val="0"/>
        <w:jc w:val="both"/>
        <w:rPr>
          <w:rFonts w:ascii="Calibri" w:hAnsi="Calibri" w:cs="Calibri"/>
          <w:i/>
          <w:iCs/>
          <w:color w:val="000000"/>
          <w:lang w:val="en-GB"/>
        </w:rPr>
      </w:pPr>
      <w:r w:rsidRPr="000A2CBC">
        <w:rPr>
          <w:rFonts w:ascii="Calibri" w:hAnsi="Calibri" w:cs="Calibri"/>
          <w:i/>
          <w:iCs/>
          <w:color w:val="000000"/>
          <w:lang w:val="en-GB"/>
        </w:rPr>
        <w:t>RESPECT OF ECHR’S INTERIM MEASURES</w:t>
      </w:r>
    </w:p>
    <w:p w14:paraId="5D065E3E" w14:textId="77777777" w:rsidR="000A2CBC" w:rsidRPr="000A2CBC" w:rsidRDefault="000A2CBC" w:rsidP="000A2CBC">
      <w:pPr>
        <w:autoSpaceDE w:val="0"/>
        <w:autoSpaceDN w:val="0"/>
        <w:jc w:val="both"/>
        <w:rPr>
          <w:rFonts w:ascii="Calibri" w:hAnsi="Calibri" w:cs="Calibri"/>
          <w:i/>
          <w:iCs/>
          <w:color w:val="000000"/>
          <w:lang w:val="en-GB"/>
        </w:rPr>
      </w:pPr>
    </w:p>
    <w:p w14:paraId="585A597F" w14:textId="77777777" w:rsidR="000A2CBC" w:rsidRPr="000A2CBC" w:rsidRDefault="000A2CBC" w:rsidP="000A2CBC">
      <w:pPr>
        <w:autoSpaceDE w:val="0"/>
        <w:autoSpaceDN w:val="0"/>
        <w:jc w:val="both"/>
        <w:rPr>
          <w:rFonts w:ascii="Calibri" w:hAnsi="Calibri" w:cs="Calibri"/>
          <w:color w:val="000000"/>
          <w:lang w:val="en-GB"/>
        </w:rPr>
      </w:pPr>
      <w:r w:rsidRPr="000A2CBC">
        <w:rPr>
          <w:rFonts w:ascii="Calibri" w:hAnsi="Calibri" w:cs="Calibri"/>
          <w:color w:val="000000"/>
          <w:u w:val="single"/>
          <w:lang w:val="en-GB"/>
        </w:rPr>
        <w:lastRenderedPageBreak/>
        <w:t>Group M.A.</w:t>
      </w:r>
      <w:r w:rsidRPr="000A2CBC">
        <w:rPr>
          <w:rFonts w:ascii="Calibri" w:hAnsi="Calibri" w:cs="Calibri"/>
          <w:color w:val="000000"/>
          <w:lang w:val="en-GB"/>
        </w:rPr>
        <w:t xml:space="preserve"> (No. 9373/15) (ENHA): violation of two applicants' right of individual application before the ECHR (violations of Article 34).</w:t>
      </w:r>
    </w:p>
    <w:p w14:paraId="1D284956" w14:textId="77777777" w:rsidR="000A2CBC" w:rsidRPr="000A2CBC" w:rsidRDefault="000A2CBC" w:rsidP="000A2CBC">
      <w:pPr>
        <w:autoSpaceDE w:val="0"/>
        <w:autoSpaceDN w:val="0"/>
        <w:jc w:val="both"/>
        <w:rPr>
          <w:rFonts w:ascii="Calibri" w:hAnsi="Calibri" w:cs="Calibri"/>
          <w:color w:val="000000"/>
          <w:lang w:val="en-GB"/>
        </w:rPr>
      </w:pPr>
    </w:p>
    <w:p w14:paraId="2D9226CF" w14:textId="77777777" w:rsidR="000A2CBC" w:rsidRPr="000A2CBC" w:rsidRDefault="000A2CBC" w:rsidP="000A2CBC">
      <w:pPr>
        <w:autoSpaceDE w:val="0"/>
        <w:autoSpaceDN w:val="0"/>
        <w:jc w:val="both"/>
        <w:rPr>
          <w:rFonts w:ascii="Calibri" w:hAnsi="Calibri" w:cs="Calibri"/>
          <w:color w:val="000000"/>
          <w:lang w:val="en-US"/>
        </w:rPr>
      </w:pPr>
      <w:r w:rsidRPr="000A2CBC">
        <w:rPr>
          <w:rFonts w:ascii="Calibri" w:hAnsi="Calibri" w:cs="Calibri"/>
          <w:color w:val="000000"/>
          <w:lang w:val="en-US"/>
        </w:rPr>
        <w:t xml:space="preserve">Presentation on </w:t>
      </w:r>
      <w:proofErr w:type="spellStart"/>
      <w:r w:rsidRPr="000A2CBC">
        <w:rPr>
          <w:rFonts w:ascii="Calibri" w:hAnsi="Calibri" w:cs="Calibri"/>
          <w:color w:val="000000"/>
          <w:lang w:val="en-US"/>
        </w:rPr>
        <w:t>Hudoc</w:t>
      </w:r>
      <w:proofErr w:type="spellEnd"/>
      <w:r w:rsidRPr="000A2CBC">
        <w:rPr>
          <w:rFonts w:ascii="Calibri" w:hAnsi="Calibri" w:cs="Calibri"/>
          <w:color w:val="000000"/>
          <w:lang w:val="en-US"/>
        </w:rPr>
        <w:t xml:space="preserve"> exec: </w:t>
      </w:r>
      <w:hyperlink r:id="rId16" w:anchor="{%22fulltext%22:[%22M.A.%22],%22execdocumenttypecollection%22:[%22CEC%22],%22execidentifier%22:[%22004-50021%22]}" w:history="1">
        <w:r w:rsidRPr="000A2CBC">
          <w:rPr>
            <w:rStyle w:val="Hyperlink"/>
            <w:rFonts w:ascii="Calibri" w:hAnsi="Calibri" w:cs="Calibri"/>
            <w:lang w:val="en-US"/>
          </w:rPr>
          <w:t>M.A. v. France</w:t>
        </w:r>
      </w:hyperlink>
    </w:p>
    <w:p w14:paraId="5AE7A060" w14:textId="77777777" w:rsidR="000A2CBC" w:rsidRPr="000A2CBC" w:rsidRDefault="000A2CBC" w:rsidP="000A2CBC">
      <w:pPr>
        <w:autoSpaceDE w:val="0"/>
        <w:autoSpaceDN w:val="0"/>
        <w:jc w:val="both"/>
        <w:rPr>
          <w:rFonts w:ascii="Calibri" w:hAnsi="Calibri" w:cs="Calibri"/>
          <w:color w:val="000000"/>
          <w:lang w:val="en-US"/>
        </w:rPr>
      </w:pPr>
      <w:r w:rsidRPr="000A2CBC">
        <w:rPr>
          <w:rFonts w:ascii="Calibri" w:hAnsi="Calibri" w:cs="Calibri"/>
          <w:color w:val="000000"/>
          <w:lang w:val="en-US"/>
        </w:rPr>
        <w:t xml:space="preserve">Latest decision of the Committee of Ministers: </w:t>
      </w:r>
      <w:hyperlink r:id="rId17" w:anchor="{%22fulltext%22:[%22M.A.%22],%22execdocumenttypecollection%22:[%22CEC%22],%22execidentifier%22:[%22004-50021%22]}" w:history="1">
        <w:r w:rsidRPr="000A2CBC">
          <w:rPr>
            <w:rStyle w:val="Hyperlink"/>
            <w:rFonts w:ascii="Calibri" w:hAnsi="Calibri" w:cs="Calibri"/>
            <w:lang w:val="en-US"/>
          </w:rPr>
          <w:t>M.A. v. France</w:t>
        </w:r>
      </w:hyperlink>
    </w:p>
    <w:p w14:paraId="0300602A" w14:textId="77777777" w:rsidR="000A2CBC" w:rsidRPr="000A2CBC" w:rsidRDefault="000A2CBC" w:rsidP="000A2CBC">
      <w:pPr>
        <w:autoSpaceDE w:val="0"/>
        <w:autoSpaceDN w:val="0"/>
        <w:jc w:val="both"/>
        <w:rPr>
          <w:rFonts w:ascii="Calibri" w:hAnsi="Calibri" w:cs="Calibri"/>
          <w:color w:val="000000"/>
          <w:lang w:val="en-GB"/>
        </w:rPr>
      </w:pPr>
      <w:r w:rsidRPr="000A2CBC">
        <w:rPr>
          <w:rFonts w:ascii="Calibri" w:hAnsi="Calibri" w:cs="Calibri"/>
          <w:color w:val="000000"/>
          <w:lang w:val="en-GB"/>
        </w:rPr>
        <w:t xml:space="preserve">Latest submission: </w:t>
      </w:r>
      <w:hyperlink r:id="rId18" w:anchor="%257B%2522CoEReference%2522:%5B%2522DH-DD(2024)355%2522%5D,%2522CoELanguageId%2522:%5B%2522eng%2522%5D,%2522CoECollection%2522:%5B%2522COE_DOC%2522%5D%257D" w:tgtFrame="_blank" w:tooltip="1501e réunion (juin 2024) (DH) - Plan d’action (28/03/2024) - Communication de la France concernant le groupe d’affaires M.A. c. France (requête n° 9373/15) (French only)" w:history="1">
        <w:r w:rsidRPr="000A2CBC">
          <w:rPr>
            <w:rStyle w:val="Hyperlink"/>
            <w:rFonts w:ascii="Calibri" w:hAnsi="Calibri" w:cs="Calibri"/>
            <w:lang w:val="en-US"/>
          </w:rPr>
          <w:t>DH-DD(2024)355</w:t>
        </w:r>
      </w:hyperlink>
    </w:p>
    <w:p w14:paraId="4075E434" w14:textId="77777777" w:rsidR="000A2CBC" w:rsidRPr="000A2CBC" w:rsidRDefault="000A2CBC" w:rsidP="000A2CBC">
      <w:pPr>
        <w:autoSpaceDE w:val="0"/>
        <w:autoSpaceDN w:val="0"/>
        <w:jc w:val="both"/>
        <w:rPr>
          <w:rFonts w:ascii="Calibri" w:hAnsi="Calibri" w:cs="Calibri"/>
          <w:color w:val="000000"/>
          <w:lang w:val="en-GB"/>
        </w:rPr>
      </w:pPr>
    </w:p>
    <w:p w14:paraId="05C07A89" w14:textId="77777777" w:rsidR="000A2CBC" w:rsidRPr="000A2CBC" w:rsidRDefault="000A2CBC" w:rsidP="000A2CBC">
      <w:pPr>
        <w:numPr>
          <w:ilvl w:val="0"/>
          <w:numId w:val="15"/>
        </w:numPr>
        <w:autoSpaceDE w:val="0"/>
        <w:autoSpaceDN w:val="0"/>
        <w:jc w:val="both"/>
        <w:rPr>
          <w:rFonts w:ascii="Calibri" w:hAnsi="Calibri" w:cs="Calibri"/>
          <w:i/>
          <w:iCs/>
          <w:color w:val="000000"/>
          <w:lang w:val="en-US"/>
        </w:rPr>
      </w:pPr>
      <w:r w:rsidRPr="000A2CBC">
        <w:rPr>
          <w:rFonts w:ascii="Calibri" w:hAnsi="Calibri" w:cs="Calibri"/>
          <w:i/>
          <w:iCs/>
          <w:color w:val="000000"/>
          <w:lang w:val="en-US"/>
        </w:rPr>
        <w:t xml:space="preserve">POOR CONDITIONS OF DETENTION AND PRISON OVERCROWDING </w:t>
      </w:r>
    </w:p>
    <w:p w14:paraId="44298381" w14:textId="77777777" w:rsidR="000A2CBC" w:rsidRPr="000A2CBC" w:rsidRDefault="000A2CBC" w:rsidP="000A2CBC">
      <w:pPr>
        <w:autoSpaceDE w:val="0"/>
        <w:autoSpaceDN w:val="0"/>
        <w:jc w:val="both"/>
        <w:rPr>
          <w:rFonts w:ascii="Calibri" w:hAnsi="Calibri" w:cs="Calibri"/>
          <w:color w:val="000000"/>
          <w:lang w:val="en-US"/>
        </w:rPr>
      </w:pPr>
    </w:p>
    <w:p w14:paraId="07A6CC60" w14:textId="77777777" w:rsidR="000A2CBC" w:rsidRPr="000A2CBC" w:rsidRDefault="000A2CBC" w:rsidP="000A2CBC">
      <w:pPr>
        <w:autoSpaceDE w:val="0"/>
        <w:autoSpaceDN w:val="0"/>
        <w:jc w:val="both"/>
        <w:rPr>
          <w:rFonts w:ascii="Calibri" w:hAnsi="Calibri" w:cs="Calibri"/>
          <w:color w:val="000000"/>
          <w:lang w:val="en-US"/>
        </w:rPr>
      </w:pPr>
      <w:r w:rsidRPr="000A2CBC">
        <w:rPr>
          <w:rFonts w:ascii="Calibri" w:hAnsi="Calibri" w:cs="Calibri"/>
          <w:color w:val="000000"/>
          <w:u w:val="single"/>
          <w:lang w:val="en-US"/>
        </w:rPr>
        <w:t>J.M.B. and others</w:t>
      </w:r>
      <w:r w:rsidRPr="000A2CBC">
        <w:rPr>
          <w:rFonts w:ascii="Calibri" w:hAnsi="Calibri" w:cs="Calibri"/>
          <w:color w:val="000000"/>
          <w:lang w:val="en-US"/>
        </w:rPr>
        <w:t xml:space="preserve"> (No. 9671/15) (ENHA): structural problem of prison overcrowding and poor conditions of detention (violation of Article 3) + lack of an effective preventive domestic remedy (violation of Articles 13 and 3 combined). </w:t>
      </w:r>
    </w:p>
    <w:p w14:paraId="24FB308E" w14:textId="77777777" w:rsidR="000A2CBC" w:rsidRPr="000A2CBC" w:rsidRDefault="000A2CBC" w:rsidP="000A2CBC">
      <w:pPr>
        <w:autoSpaceDE w:val="0"/>
        <w:autoSpaceDN w:val="0"/>
        <w:jc w:val="both"/>
        <w:rPr>
          <w:rFonts w:ascii="Calibri" w:hAnsi="Calibri" w:cs="Calibri"/>
          <w:color w:val="000000"/>
          <w:lang w:val="en-US"/>
        </w:rPr>
      </w:pPr>
    </w:p>
    <w:p w14:paraId="53827B78" w14:textId="77777777" w:rsidR="000A2CBC" w:rsidRPr="000A2CBC" w:rsidRDefault="000A2CBC" w:rsidP="000A2CBC">
      <w:pPr>
        <w:autoSpaceDE w:val="0"/>
        <w:autoSpaceDN w:val="0"/>
        <w:jc w:val="both"/>
        <w:rPr>
          <w:rFonts w:ascii="Calibri" w:hAnsi="Calibri" w:cs="Calibri"/>
          <w:color w:val="000000"/>
          <w:lang w:val="en-US"/>
        </w:rPr>
      </w:pPr>
      <w:r w:rsidRPr="000A2CBC">
        <w:rPr>
          <w:rFonts w:ascii="Calibri" w:hAnsi="Calibri" w:cs="Calibri"/>
          <w:color w:val="000000"/>
          <w:lang w:val="en-US"/>
        </w:rPr>
        <w:t xml:space="preserve">Presentation on </w:t>
      </w:r>
      <w:proofErr w:type="spellStart"/>
      <w:r w:rsidRPr="000A2CBC">
        <w:rPr>
          <w:rFonts w:ascii="Calibri" w:hAnsi="Calibri" w:cs="Calibri"/>
          <w:color w:val="000000"/>
          <w:lang w:val="en-US"/>
        </w:rPr>
        <w:t>Hudoc</w:t>
      </w:r>
      <w:proofErr w:type="spellEnd"/>
      <w:r w:rsidRPr="000A2CBC">
        <w:rPr>
          <w:rFonts w:ascii="Calibri" w:hAnsi="Calibri" w:cs="Calibri"/>
          <w:color w:val="000000"/>
          <w:lang w:val="en-US"/>
        </w:rPr>
        <w:t xml:space="preserve"> exec: </w:t>
      </w:r>
      <w:hyperlink r:id="rId19" w:anchor="{%22fulltext%22:[%22J.M.B.%20AND%20OTHERS%22],%22execdocumenttypecollection%22:[%22CEC%22],%22execidentifier%22:[%22004-55363%22]}" w:history="1">
        <w:r w:rsidRPr="000A2CBC">
          <w:rPr>
            <w:rStyle w:val="Hyperlink"/>
            <w:rFonts w:ascii="Calibri" w:hAnsi="Calibri" w:cs="Calibri"/>
            <w:lang w:val="en-US"/>
          </w:rPr>
          <w:t>J.M.B. AND OTHERS v. France</w:t>
        </w:r>
      </w:hyperlink>
    </w:p>
    <w:p w14:paraId="4FC79A29" w14:textId="77777777" w:rsidR="000A2CBC" w:rsidRPr="000A2CBC" w:rsidRDefault="000A2CBC" w:rsidP="000A2CBC">
      <w:pPr>
        <w:autoSpaceDE w:val="0"/>
        <w:autoSpaceDN w:val="0"/>
        <w:jc w:val="both"/>
        <w:rPr>
          <w:rFonts w:ascii="Calibri" w:hAnsi="Calibri" w:cs="Calibri"/>
          <w:color w:val="000000"/>
          <w:lang w:val="en-US"/>
        </w:rPr>
      </w:pPr>
      <w:r w:rsidRPr="000A2CBC">
        <w:rPr>
          <w:rFonts w:ascii="Calibri" w:hAnsi="Calibri" w:cs="Calibri"/>
          <w:color w:val="000000"/>
          <w:lang w:val="en-US"/>
        </w:rPr>
        <w:t xml:space="preserve">Latest decision of the Committee of Ministers: </w:t>
      </w:r>
      <w:hyperlink r:id="rId20" w:anchor="{%22fulltext%22:[%22J.M.B.%22],%22execdocumenttypecollection%22:[%22CEC%22],%22execidentifier%22:[%22004-55363%22]}" w:history="1">
        <w:r w:rsidRPr="000A2CBC">
          <w:rPr>
            <w:rStyle w:val="Hyperlink"/>
            <w:rFonts w:ascii="Calibri" w:hAnsi="Calibri" w:cs="Calibri"/>
            <w:lang w:val="en-US"/>
          </w:rPr>
          <w:t>J.M.B. AND OTHERS v. France</w:t>
        </w:r>
      </w:hyperlink>
    </w:p>
    <w:p w14:paraId="72353E31" w14:textId="3772027E" w:rsidR="000A2CBC" w:rsidRPr="0003402A" w:rsidRDefault="000A2CBC" w:rsidP="000A2CBC">
      <w:pPr>
        <w:autoSpaceDE w:val="0"/>
        <w:autoSpaceDN w:val="0"/>
        <w:jc w:val="both"/>
        <w:rPr>
          <w:rFonts w:ascii="Calibri" w:hAnsi="Calibri" w:cs="Calibri"/>
          <w:color w:val="000000"/>
          <w:lang w:val="en-US"/>
        </w:rPr>
      </w:pPr>
      <w:r w:rsidRPr="000A2CBC">
        <w:rPr>
          <w:rFonts w:ascii="Calibri" w:hAnsi="Calibri" w:cs="Calibri"/>
          <w:color w:val="000000"/>
          <w:lang w:val="en-US"/>
        </w:rPr>
        <w:t>Latest submission:</w:t>
      </w:r>
      <w:bookmarkStart w:id="0" w:name="_ML_000000000005_VALID"/>
      <w:bookmarkEnd w:id="0"/>
      <w:r w:rsidRPr="000A2CBC">
        <w:rPr>
          <w:rFonts w:ascii="Calibri" w:hAnsi="Calibri" w:cs="Calibri"/>
          <w:color w:val="000000"/>
          <w:lang w:val="en-US"/>
        </w:rPr>
        <w:t xml:space="preserve"> </w:t>
      </w:r>
      <w:hyperlink r:id="rId21" w:tgtFrame="_blank" w:tooltip="1492e réunion (mars 2024) (DH) - Plan d'action (02/01/2024) - Communication de la France concernant le groupe d’affaires J.M.B. et autres c. France (requête n° 9671/15) (French only) " w:history="1">
        <w:r w:rsidRPr="000A2CBC">
          <w:rPr>
            <w:rStyle w:val="Hyperlink"/>
            <w:rFonts w:ascii="Calibri" w:hAnsi="Calibri" w:cs="Calibri"/>
            <w:lang w:val="en-US"/>
          </w:rPr>
          <w:t>DH-DD(2024)31</w:t>
        </w:r>
      </w:hyperlink>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20BF60D7" w14:textId="77777777" w:rsidR="0069672E" w:rsidRPr="0069672E" w:rsidRDefault="0069672E" w:rsidP="0069672E">
      <w:pPr>
        <w:keepNext/>
        <w:spacing w:before="320"/>
        <w:outlineLvl w:val="0"/>
        <w:rPr>
          <w:rFonts w:ascii="Calibri Light" w:eastAsia="Times New Roman" w:hAnsi="Calibri Light" w:cs="Calibri Light"/>
          <w:color w:val="2F5496"/>
          <w:kern w:val="36"/>
          <w:sz w:val="32"/>
          <w:szCs w:val="32"/>
          <w:lang w:val="en-US"/>
        </w:rPr>
      </w:pPr>
      <w:bookmarkStart w:id="1" w:name="_Toc36635832"/>
      <w:r w:rsidRPr="0069672E">
        <w:rPr>
          <w:rFonts w:ascii="Calibri Light" w:eastAsia="Times New Roman" w:hAnsi="Calibri Light" w:cs="Calibri Light"/>
          <w:color w:val="2F5496"/>
          <w:kern w:val="36"/>
          <w:sz w:val="32"/>
          <w:szCs w:val="32"/>
          <w:lang w:val="en-US"/>
        </w:rPr>
        <w:t>II Anti-corruption framework</w:t>
      </w:r>
      <w:bookmarkEnd w:id="1"/>
      <w:r w:rsidRPr="0069672E">
        <w:rPr>
          <w:rFonts w:ascii="Calibri Light" w:eastAsia="Times New Roman" w:hAnsi="Calibri Light" w:cs="Calibri Light"/>
          <w:color w:val="2F5496"/>
          <w:kern w:val="36"/>
          <w:sz w:val="32"/>
          <w:szCs w:val="32"/>
          <w:lang w:val="en-US"/>
        </w:rPr>
        <w:t xml:space="preserve"> </w:t>
      </w:r>
    </w:p>
    <w:p w14:paraId="5B65E081" w14:textId="77777777" w:rsidR="00C80C6E" w:rsidRPr="00C80C6E" w:rsidRDefault="00C80C6E" w:rsidP="00C80C6E">
      <w:pPr>
        <w:rPr>
          <w:rFonts w:ascii="Calibri" w:eastAsia="Times New Roman" w:hAnsi="Calibri" w:cs="Times New Roman"/>
          <w:lang w:val="en-US"/>
        </w:rPr>
      </w:pPr>
      <w:r w:rsidRPr="00C80C6E">
        <w:rPr>
          <w:rFonts w:ascii="Calibri" w:eastAsia="Times New Roman" w:hAnsi="Calibri" w:cs="Times New Roman"/>
          <w:lang w:val="en-US"/>
        </w:rPr>
        <w:t>GRECO (10 April 2024)</w:t>
      </w:r>
    </w:p>
    <w:p w14:paraId="6E6299DD" w14:textId="77777777" w:rsidR="00C80C6E" w:rsidRPr="00C80C6E" w:rsidRDefault="00000000" w:rsidP="00C80C6E">
      <w:pPr>
        <w:rPr>
          <w:rFonts w:ascii="Calibri" w:eastAsia="Times New Roman" w:hAnsi="Calibri" w:cs="Times New Roman"/>
          <w:lang w:val="en-US"/>
        </w:rPr>
      </w:pPr>
      <w:hyperlink r:id="rId22" w:history="1">
        <w:r w:rsidR="00C80C6E" w:rsidRPr="00C80C6E">
          <w:rPr>
            <w:rFonts w:ascii="Calibri" w:eastAsia="Times New Roman" w:hAnsi="Calibri" w:cs="Times New Roman"/>
            <w:color w:val="F49100"/>
            <w:u w:val="single"/>
            <w:lang w:val="en-US"/>
          </w:rPr>
          <w:t>Second Compliance Report</w:t>
        </w:r>
      </w:hyperlink>
    </w:p>
    <w:p w14:paraId="57B5ADCB" w14:textId="77777777" w:rsidR="00C80C6E" w:rsidRPr="00C80C6E" w:rsidRDefault="00C80C6E" w:rsidP="00C80C6E">
      <w:pPr>
        <w:rPr>
          <w:rFonts w:ascii="Calibri" w:eastAsia="Times New Roman" w:hAnsi="Calibri" w:cs="Times New Roman"/>
          <w:lang w:val="en-GB"/>
        </w:rPr>
      </w:pPr>
      <w:r w:rsidRPr="00C80C6E">
        <w:rPr>
          <w:rFonts w:ascii="Calibri" w:eastAsia="Times New Roman" w:hAnsi="Calibri" w:cs="Times New Roman"/>
          <w:lang w:val="en-GB"/>
        </w:rPr>
        <w:t>5</w:t>
      </w:r>
      <w:r w:rsidRPr="00C80C6E">
        <w:rPr>
          <w:rFonts w:ascii="Calibri" w:eastAsia="Times New Roman" w:hAnsi="Calibri" w:cs="Times New Roman"/>
          <w:vertAlign w:val="superscript"/>
          <w:lang w:val="en-GB"/>
        </w:rPr>
        <w:t>th</w:t>
      </w:r>
      <w:r w:rsidRPr="00C80C6E">
        <w:rPr>
          <w:rFonts w:ascii="Calibri" w:eastAsia="Times New Roman" w:hAnsi="Calibri" w:cs="Times New Roman"/>
          <w:lang w:val="en-GB"/>
        </w:rPr>
        <w:t xml:space="preserve"> round: Preventing corruption and promoting integrity in central governments (top executive functions) and law enforcement agencies</w:t>
      </w:r>
    </w:p>
    <w:p w14:paraId="6FD91DFC" w14:textId="77777777" w:rsidR="00C80C6E" w:rsidRPr="00C80C6E" w:rsidRDefault="00C80C6E" w:rsidP="00C80C6E">
      <w:pPr>
        <w:rPr>
          <w:rFonts w:ascii="Calibri" w:eastAsia="Times New Roman" w:hAnsi="Calibri" w:cs="Times New Roman"/>
          <w:lang w:val="en-GB"/>
        </w:rPr>
      </w:pPr>
    </w:p>
    <w:p w14:paraId="77603332" w14:textId="77777777" w:rsidR="00C80C6E" w:rsidRPr="00C80C6E" w:rsidRDefault="00C80C6E" w:rsidP="00C80C6E">
      <w:pPr>
        <w:rPr>
          <w:rFonts w:ascii="Calibri" w:eastAsia="Times New Roman" w:hAnsi="Calibri" w:cs="Times New Roman"/>
          <w:lang w:val="en-GB"/>
        </w:rPr>
      </w:pPr>
      <w:r w:rsidRPr="00C80C6E">
        <w:rPr>
          <w:rFonts w:ascii="Calibri" w:eastAsia="Times New Roman" w:hAnsi="Calibri" w:cs="Times New Roman"/>
          <w:lang w:val="en-GB"/>
        </w:rPr>
        <w:t>GRECO (30 January 2024)</w:t>
      </w:r>
    </w:p>
    <w:p w14:paraId="4098FFAC" w14:textId="77777777" w:rsidR="00C80C6E" w:rsidRPr="00C80C6E" w:rsidRDefault="00000000" w:rsidP="00C80C6E">
      <w:pPr>
        <w:rPr>
          <w:rFonts w:ascii="Calibri" w:eastAsia="Times New Roman" w:hAnsi="Calibri" w:cs="Times New Roman"/>
          <w:lang w:val="en-GB"/>
        </w:rPr>
      </w:pPr>
      <w:hyperlink r:id="rId23" w:history="1">
        <w:r w:rsidR="00C80C6E" w:rsidRPr="00C80C6E">
          <w:rPr>
            <w:rFonts w:ascii="Calibri" w:eastAsia="Times New Roman" w:hAnsi="Calibri" w:cs="Times New Roman"/>
            <w:color w:val="F49100"/>
            <w:u w:val="single"/>
            <w:lang w:val="en-GB"/>
          </w:rPr>
          <w:t>Second Addendum to the Second Compliance Report</w:t>
        </w:r>
      </w:hyperlink>
    </w:p>
    <w:p w14:paraId="489542B9" w14:textId="77777777" w:rsidR="00C80C6E" w:rsidRDefault="00C80C6E" w:rsidP="00C80C6E">
      <w:pPr>
        <w:rPr>
          <w:rFonts w:ascii="Calibri" w:eastAsia="Times New Roman" w:hAnsi="Calibri" w:cs="Times New Roman"/>
          <w:lang w:val="en-GB"/>
        </w:rPr>
      </w:pPr>
      <w:r w:rsidRPr="00C80C6E">
        <w:rPr>
          <w:rFonts w:ascii="Calibri" w:eastAsia="Times New Roman" w:hAnsi="Calibri" w:cs="Times New Roman"/>
          <w:lang w:val="en-GB"/>
        </w:rPr>
        <w:t>4</w:t>
      </w:r>
      <w:r w:rsidRPr="00C80C6E">
        <w:rPr>
          <w:rFonts w:ascii="Calibri" w:eastAsia="Times New Roman" w:hAnsi="Calibri" w:cs="Times New Roman"/>
          <w:vertAlign w:val="superscript"/>
          <w:lang w:val="en-GB"/>
        </w:rPr>
        <w:t>th</w:t>
      </w:r>
      <w:r w:rsidRPr="00C80C6E">
        <w:rPr>
          <w:rFonts w:ascii="Calibri" w:eastAsia="Times New Roman" w:hAnsi="Calibri" w:cs="Times New Roman"/>
          <w:lang w:val="en-GB"/>
        </w:rPr>
        <w:t xml:space="preserve"> round: Prevention of corruption in respect of members of parliament, judges and prosecutors</w:t>
      </w:r>
    </w:p>
    <w:p w14:paraId="2EC95CB3" w14:textId="77777777" w:rsidR="006E3ED6" w:rsidRDefault="006E3ED6" w:rsidP="00C80C6E">
      <w:pPr>
        <w:rPr>
          <w:rFonts w:ascii="Calibri" w:eastAsia="Times New Roman" w:hAnsi="Calibri" w:cs="Times New Roman"/>
          <w:lang w:val="en-GB"/>
        </w:rPr>
      </w:pPr>
    </w:p>
    <w:p w14:paraId="64BA731A" w14:textId="77777777" w:rsidR="006E3ED6" w:rsidRPr="00C80C6E" w:rsidRDefault="006E3ED6" w:rsidP="00C80C6E">
      <w:pPr>
        <w:rPr>
          <w:rFonts w:ascii="Calibri" w:eastAsia="Times New Roman" w:hAnsi="Calibri" w:cs="Times New Roman"/>
          <w:lang w:val="en-GB"/>
        </w:rPr>
      </w:pPr>
    </w:p>
    <w:p w14:paraId="23A76B86" w14:textId="77777777" w:rsidR="006E3ED6" w:rsidRPr="00ED239B" w:rsidRDefault="006E3ED6" w:rsidP="006E3ED6">
      <w:pPr>
        <w:pStyle w:val="NoSpacing"/>
        <w:rPr>
          <w:rFonts w:ascii="Calibri" w:hAnsi="Calibri" w:cs="Calibri"/>
          <w:color w:val="161616"/>
          <w:lang w:val="en-GB"/>
        </w:rPr>
      </w:pPr>
      <w:r w:rsidRPr="00ED239B">
        <w:rPr>
          <w:rFonts w:ascii="Calibri" w:hAnsi="Calibri" w:cs="Calibri"/>
          <w:color w:val="161616"/>
          <w:lang w:val="en-GB"/>
        </w:rPr>
        <w:t xml:space="preserve">MONEYVAL </w:t>
      </w:r>
    </w:p>
    <w:p w14:paraId="68D4B9CF" w14:textId="77777777" w:rsidR="006E3ED6" w:rsidRPr="00ED239B" w:rsidRDefault="006E3ED6" w:rsidP="006E3ED6">
      <w:pPr>
        <w:pStyle w:val="NoSpacing"/>
        <w:rPr>
          <w:rFonts w:ascii="Calibri" w:hAnsi="Calibri" w:cs="Calibri"/>
          <w:color w:val="161616"/>
          <w:lang w:val="en-GB"/>
        </w:rPr>
      </w:pPr>
      <w:r w:rsidRPr="00ED239B">
        <w:rPr>
          <w:rFonts w:ascii="Calibri" w:hAnsi="Calibri" w:cs="Calibri"/>
          <w:color w:val="161616"/>
          <w:lang w:val="en-GB"/>
        </w:rPr>
        <w:t xml:space="preserve">N/A </w:t>
      </w:r>
    </w:p>
    <w:p w14:paraId="43E93B00" w14:textId="77777777" w:rsidR="006E3ED6" w:rsidRPr="00ED239B" w:rsidRDefault="006E3ED6" w:rsidP="006E3ED6">
      <w:pPr>
        <w:pStyle w:val="NoSpacing"/>
        <w:rPr>
          <w:rFonts w:ascii="Calibri" w:hAnsi="Calibri" w:cs="Calibri"/>
          <w:color w:val="161616"/>
          <w:lang w:val="en-GB"/>
        </w:rPr>
      </w:pPr>
    </w:p>
    <w:p w14:paraId="6589520E" w14:textId="77777777" w:rsidR="006E3ED6" w:rsidRPr="00ED239B" w:rsidRDefault="006E3ED6" w:rsidP="006E3ED6">
      <w:pPr>
        <w:pStyle w:val="NoSpacing"/>
        <w:rPr>
          <w:rFonts w:ascii="Calibri" w:hAnsi="Calibri" w:cs="Calibri"/>
          <w:color w:val="161616"/>
          <w:lang w:val="en-GB"/>
        </w:rPr>
      </w:pPr>
      <w:r w:rsidRPr="00ED239B">
        <w:rPr>
          <w:rFonts w:ascii="Calibri" w:hAnsi="Calibri" w:cs="Calibri"/>
          <w:color w:val="161616"/>
          <w:lang w:val="en-GB"/>
        </w:rPr>
        <w:t xml:space="preserve">COP 198 </w:t>
      </w:r>
    </w:p>
    <w:p w14:paraId="601DC1DE" w14:textId="77777777" w:rsidR="006E3ED6" w:rsidRPr="00ED239B" w:rsidRDefault="00000000" w:rsidP="006E3ED6">
      <w:pPr>
        <w:pStyle w:val="NoSpacing"/>
        <w:rPr>
          <w:rFonts w:ascii="Calibri" w:hAnsi="Calibri" w:cs="Calibri"/>
          <w:color w:val="161616"/>
          <w:lang w:val="en-GB"/>
        </w:rPr>
      </w:pPr>
      <w:hyperlink r:id="rId24" w:history="1">
        <w:r w:rsidR="006E3ED6">
          <w:rPr>
            <w:rStyle w:val="Hyperlink"/>
            <w:rFonts w:ascii="Calibri" w:hAnsi="Calibri" w:cs="Calibri"/>
            <w:lang w:val="en-GB"/>
          </w:rPr>
          <w:t>Follow0-up report on</w:t>
        </w:r>
        <w:r w:rsidR="006E3ED6" w:rsidRPr="00030502">
          <w:rPr>
            <w:rStyle w:val="Hyperlink"/>
            <w:rFonts w:ascii="Calibri" w:hAnsi="Calibri" w:cs="Calibri"/>
            <w:lang w:val="en-GB"/>
          </w:rPr>
          <w:t xml:space="preserve"> </w:t>
        </w:r>
        <w:r w:rsidR="006E3ED6">
          <w:rPr>
            <w:rStyle w:val="Hyperlink"/>
            <w:rFonts w:ascii="Calibri" w:hAnsi="Calibri" w:cs="Calibri"/>
            <w:lang w:val="en-GB"/>
          </w:rPr>
          <w:t>implementation</w:t>
        </w:r>
        <w:r w:rsidR="006E3ED6" w:rsidRPr="00030502">
          <w:rPr>
            <w:rStyle w:val="Hyperlink"/>
            <w:rFonts w:ascii="Calibri" w:hAnsi="Calibri" w:cs="Calibri"/>
            <w:lang w:val="en-GB"/>
          </w:rPr>
          <w:t xml:space="preserve"> of art. 7(2(c)) and 19(1) of the Warsaw Convention</w:t>
        </w:r>
      </w:hyperlink>
    </w:p>
    <w:p w14:paraId="76E40666" w14:textId="77777777" w:rsidR="0069672E" w:rsidRPr="0069672E" w:rsidRDefault="0069672E" w:rsidP="0069672E">
      <w:pPr>
        <w:keepNext/>
        <w:spacing w:before="320"/>
        <w:outlineLvl w:val="0"/>
        <w:rPr>
          <w:rFonts w:ascii="Calibri Light" w:eastAsia="Times New Roman" w:hAnsi="Calibri Light" w:cs="Calibri Light"/>
          <w:color w:val="2F5496"/>
          <w:kern w:val="36"/>
          <w:sz w:val="32"/>
          <w:szCs w:val="32"/>
          <w:lang w:val="en-US"/>
        </w:rPr>
      </w:pPr>
    </w:p>
    <w:p w14:paraId="24D6619B" w14:textId="77777777" w:rsidR="0069672E" w:rsidRPr="0069672E" w:rsidRDefault="0069672E" w:rsidP="0069672E">
      <w:pPr>
        <w:keepNext/>
        <w:spacing w:before="320"/>
        <w:outlineLvl w:val="0"/>
        <w:rPr>
          <w:rFonts w:ascii="Calibri Light" w:eastAsia="Times New Roman" w:hAnsi="Calibri Light" w:cs="Calibri Light"/>
          <w:color w:val="2F5496"/>
          <w:kern w:val="36"/>
          <w:sz w:val="32"/>
          <w:szCs w:val="32"/>
          <w:lang w:val="en-US"/>
        </w:rPr>
      </w:pPr>
      <w:bookmarkStart w:id="2" w:name="_Toc36635845"/>
      <w:r w:rsidRPr="0069672E">
        <w:rPr>
          <w:rFonts w:ascii="Calibri Light" w:eastAsia="Times New Roman" w:hAnsi="Calibri Light" w:cs="Calibri Light"/>
          <w:color w:val="2F5496"/>
          <w:kern w:val="36"/>
          <w:sz w:val="32"/>
          <w:szCs w:val="32"/>
          <w:lang w:val="en-US"/>
        </w:rPr>
        <w:t>III Media pluralism</w:t>
      </w:r>
      <w:bookmarkEnd w:id="2"/>
      <w:r w:rsidRPr="0069672E">
        <w:rPr>
          <w:rFonts w:ascii="Calibri Light" w:eastAsia="Times New Roman" w:hAnsi="Calibri Light" w:cs="Calibri Light"/>
          <w:color w:val="2F5496"/>
          <w:kern w:val="36"/>
          <w:sz w:val="32"/>
          <w:szCs w:val="32"/>
          <w:lang w:val="en-US"/>
        </w:rPr>
        <w:t xml:space="preserve"> </w:t>
      </w:r>
    </w:p>
    <w:p w14:paraId="4F6B362C" w14:textId="77777777" w:rsidR="0069672E" w:rsidRPr="0069672E" w:rsidRDefault="0069672E" w:rsidP="0069672E">
      <w:pPr>
        <w:keepNext/>
        <w:spacing w:before="320"/>
        <w:outlineLvl w:val="0"/>
        <w:rPr>
          <w:rFonts w:ascii="Calibri Light" w:eastAsia="Times New Roman" w:hAnsi="Calibri Light" w:cs="Calibri Light"/>
          <w:color w:val="2F5496"/>
          <w:kern w:val="36"/>
          <w:sz w:val="32"/>
          <w:szCs w:val="32"/>
          <w:lang w:val="en-US"/>
        </w:rPr>
      </w:pPr>
    </w:p>
    <w:p w14:paraId="5F0A1F08" w14:textId="77777777" w:rsidR="0069672E" w:rsidRDefault="0069672E" w:rsidP="0069672E">
      <w:pPr>
        <w:keepNext/>
        <w:spacing w:before="320"/>
        <w:outlineLvl w:val="0"/>
        <w:rPr>
          <w:rFonts w:ascii="Calibri Light" w:eastAsia="Times New Roman" w:hAnsi="Calibri Light" w:cs="Calibri Light"/>
          <w:color w:val="2F5496"/>
          <w:kern w:val="36"/>
          <w:sz w:val="32"/>
          <w:szCs w:val="32"/>
          <w:lang w:val="en-US"/>
        </w:rPr>
      </w:pPr>
    </w:p>
    <w:p w14:paraId="6493921E" w14:textId="77777777" w:rsidR="00F624D7" w:rsidRDefault="00F624D7" w:rsidP="0069672E">
      <w:pPr>
        <w:keepNext/>
        <w:spacing w:before="320"/>
        <w:outlineLvl w:val="0"/>
        <w:rPr>
          <w:rFonts w:ascii="Calibri Light" w:eastAsia="Times New Roman" w:hAnsi="Calibri Light" w:cs="Calibri Light"/>
          <w:color w:val="2F5496"/>
          <w:kern w:val="36"/>
          <w:sz w:val="32"/>
          <w:szCs w:val="32"/>
          <w:lang w:val="en-US"/>
        </w:rPr>
      </w:pPr>
    </w:p>
    <w:p w14:paraId="5CB4D841" w14:textId="77777777" w:rsidR="00F624D7" w:rsidRDefault="00F624D7" w:rsidP="0069672E">
      <w:pPr>
        <w:keepNext/>
        <w:spacing w:before="320"/>
        <w:outlineLvl w:val="0"/>
        <w:rPr>
          <w:rFonts w:ascii="Calibri Light" w:eastAsia="Times New Roman" w:hAnsi="Calibri Light" w:cs="Calibri Light"/>
          <w:color w:val="2F5496"/>
          <w:kern w:val="36"/>
          <w:sz w:val="32"/>
          <w:szCs w:val="32"/>
          <w:lang w:val="en-US"/>
        </w:rPr>
      </w:pPr>
    </w:p>
    <w:p w14:paraId="01C783F7" w14:textId="77777777" w:rsidR="00F624D7" w:rsidRPr="0069672E" w:rsidRDefault="00F624D7" w:rsidP="0069672E">
      <w:pPr>
        <w:keepNext/>
        <w:spacing w:before="320"/>
        <w:outlineLvl w:val="0"/>
        <w:rPr>
          <w:rFonts w:ascii="Calibri Light" w:eastAsia="Times New Roman" w:hAnsi="Calibri Light" w:cs="Calibri Light"/>
          <w:color w:val="2F5496"/>
          <w:kern w:val="36"/>
          <w:sz w:val="32"/>
          <w:szCs w:val="32"/>
          <w:lang w:val="en-US"/>
        </w:rPr>
      </w:pPr>
    </w:p>
    <w:p w14:paraId="22556913" w14:textId="77777777" w:rsidR="0069672E" w:rsidRPr="0069672E" w:rsidRDefault="0069672E" w:rsidP="0069672E">
      <w:pPr>
        <w:keepNext/>
        <w:spacing w:before="320"/>
        <w:outlineLvl w:val="0"/>
        <w:rPr>
          <w:rFonts w:ascii="Calibri Light" w:eastAsia="Times New Roman" w:hAnsi="Calibri Light" w:cs="Calibri Light"/>
          <w:color w:val="2F5496"/>
          <w:kern w:val="36"/>
          <w:sz w:val="32"/>
          <w:szCs w:val="32"/>
          <w:lang w:val="en-US"/>
        </w:rPr>
      </w:pPr>
      <w:bookmarkStart w:id="3" w:name="_Toc36635858"/>
      <w:r w:rsidRPr="0069672E">
        <w:rPr>
          <w:rFonts w:ascii="Calibri Light" w:eastAsia="Times New Roman" w:hAnsi="Calibri Light" w:cs="Calibri Light"/>
          <w:color w:val="2F5496"/>
          <w:kern w:val="36"/>
          <w:sz w:val="32"/>
          <w:szCs w:val="32"/>
          <w:lang w:val="en-US"/>
        </w:rPr>
        <w:t>IV Other institutional issues related to checks and balances</w:t>
      </w:r>
      <w:bookmarkEnd w:id="3"/>
      <w:r w:rsidRPr="0069672E">
        <w:rPr>
          <w:rFonts w:ascii="Calibri Light" w:eastAsia="Times New Roman" w:hAnsi="Calibri Light" w:cs="Calibri Light"/>
          <w:color w:val="2F5496"/>
          <w:kern w:val="36"/>
          <w:sz w:val="32"/>
          <w:szCs w:val="32"/>
          <w:lang w:val="en-US"/>
        </w:rPr>
        <w:t xml:space="preserve"> </w:t>
      </w:r>
    </w:p>
    <w:p w14:paraId="13334173" w14:textId="77777777" w:rsidR="0069672E" w:rsidRDefault="0069672E">
      <w:pPr>
        <w:rPr>
          <w:rFonts w:cs="Arial"/>
          <w:color w:val="FFFFFF" w:themeColor="background1"/>
          <w:sz w:val="22"/>
          <w:szCs w:val="22"/>
          <w:shd w:val="clear" w:color="auto" w:fill="1F3864" w:themeFill="accent1" w:themeFillShade="80"/>
          <w:lang w:val="en-US"/>
        </w:rPr>
      </w:pPr>
    </w:p>
    <w:p w14:paraId="1516FA04" w14:textId="6F720FFB" w:rsidR="00F624D7" w:rsidRPr="00F624D7" w:rsidRDefault="00F624D7">
      <w:pPr>
        <w:rPr>
          <w:rFonts w:ascii="Calibri" w:eastAsiaTheme="minorHAnsi" w:hAnsi="Calibri" w:cstheme="minorHAnsi"/>
          <w:color w:val="000000"/>
          <w:lang w:val="en-GB"/>
        </w:rPr>
      </w:pPr>
      <w:r w:rsidRPr="00F624D7">
        <w:rPr>
          <w:rFonts w:ascii="Calibri" w:eastAsiaTheme="minorHAnsi" w:hAnsi="Calibri" w:cstheme="minorHAnsi"/>
          <w:color w:val="000000"/>
          <w:lang w:val="en-GB"/>
        </w:rPr>
        <w:t xml:space="preserve">Venice Commission </w:t>
      </w:r>
    </w:p>
    <w:p w14:paraId="23E91BA9" w14:textId="77777777" w:rsidR="00F624D7" w:rsidRDefault="00F624D7" w:rsidP="00F624D7">
      <w:pPr>
        <w:pStyle w:val="Default"/>
        <w:jc w:val="both"/>
        <w:rPr>
          <w:rFonts w:cstheme="minorHAnsi"/>
          <w:sz w:val="20"/>
          <w:szCs w:val="20"/>
          <w:lang w:val="en-GB"/>
        </w:rPr>
      </w:pPr>
      <w:hyperlink r:id="rId25" w:history="1">
        <w:r w:rsidRPr="0015253B">
          <w:rPr>
            <w:rStyle w:val="Hyperlink"/>
            <w:rFonts w:asciiTheme="minorHAnsi" w:hAnsiTheme="minorHAnsi"/>
            <w:lang w:val="en-GB"/>
          </w:rPr>
          <w:t>CDL-</w:t>
        </w:r>
        <w:proofErr w:type="gramStart"/>
        <w:r w:rsidRPr="0015253B">
          <w:rPr>
            <w:rStyle w:val="Hyperlink"/>
            <w:rFonts w:asciiTheme="minorHAnsi" w:hAnsiTheme="minorHAnsi"/>
            <w:lang w:val="en-GB"/>
          </w:rPr>
          <w:t>AD(</w:t>
        </w:r>
        <w:proofErr w:type="gramEnd"/>
        <w:r w:rsidRPr="0015253B">
          <w:rPr>
            <w:rStyle w:val="Hyperlink"/>
            <w:rFonts w:asciiTheme="minorHAnsi" w:hAnsiTheme="minorHAnsi"/>
            <w:lang w:val="en-GB"/>
          </w:rPr>
          <w:t>2023)024</w:t>
        </w:r>
      </w:hyperlink>
      <w:r w:rsidRPr="0015253B">
        <w:rPr>
          <w:rStyle w:val="Hyperlink"/>
          <w:rFonts w:asciiTheme="minorHAnsi" w:hAnsiTheme="minorHAnsi"/>
          <w:lang w:val="en-GB"/>
        </w:rPr>
        <w:t xml:space="preserve"> </w:t>
      </w:r>
      <w:r w:rsidRPr="0015253B">
        <w:rPr>
          <w:rStyle w:val="Hyperlink"/>
          <w:rFonts w:asciiTheme="minorHAnsi" w:hAnsiTheme="minorHAnsi"/>
          <w:lang w:val="en-GB"/>
        </w:rPr>
        <w:br/>
      </w:r>
      <w:r w:rsidRPr="0015253B">
        <w:rPr>
          <w:rFonts w:cstheme="minorHAnsi"/>
          <w:sz w:val="20"/>
          <w:szCs w:val="20"/>
          <w:lang w:val="en-GB"/>
        </w:rPr>
        <w:t>France - Interim opinion on the Article 49.3 of the Constitution, adopted by the Venice Commission at its 135th Plenary Session (Venice, 9-10 June 2023) </w:t>
      </w:r>
    </w:p>
    <w:p w14:paraId="40D6DA97" w14:textId="77777777" w:rsidR="00F624D7" w:rsidRDefault="00F624D7" w:rsidP="00F624D7">
      <w:pPr>
        <w:pStyle w:val="Default"/>
        <w:jc w:val="both"/>
        <w:rPr>
          <w:rFonts w:cstheme="minorHAnsi"/>
          <w:sz w:val="20"/>
          <w:szCs w:val="20"/>
          <w:lang w:val="en-GB"/>
        </w:rPr>
      </w:pPr>
    </w:p>
    <w:p w14:paraId="0D8CB58A" w14:textId="77777777" w:rsidR="00F624D7" w:rsidRPr="0015253B" w:rsidRDefault="00F624D7" w:rsidP="00F624D7">
      <w:pPr>
        <w:pStyle w:val="Default"/>
        <w:jc w:val="both"/>
        <w:rPr>
          <w:rFonts w:cstheme="minorHAnsi"/>
          <w:sz w:val="20"/>
          <w:szCs w:val="20"/>
          <w:lang w:val="en-GB"/>
        </w:rPr>
      </w:pPr>
      <w:hyperlink r:id="rId26" w:history="1">
        <w:r w:rsidRPr="0015253B">
          <w:rPr>
            <w:rStyle w:val="Hyperlink"/>
            <w:rFonts w:asciiTheme="minorHAnsi" w:hAnsiTheme="minorHAnsi"/>
            <w:lang w:val="en-GB"/>
          </w:rPr>
          <w:t>CDL-</w:t>
        </w:r>
        <w:proofErr w:type="gramStart"/>
        <w:r w:rsidRPr="0015253B">
          <w:rPr>
            <w:rStyle w:val="Hyperlink"/>
            <w:rFonts w:asciiTheme="minorHAnsi" w:hAnsiTheme="minorHAnsi"/>
            <w:lang w:val="en-GB"/>
          </w:rPr>
          <w:t>AD(</w:t>
        </w:r>
        <w:proofErr w:type="gramEnd"/>
        <w:r w:rsidRPr="0015253B">
          <w:rPr>
            <w:rStyle w:val="Hyperlink"/>
            <w:rFonts w:asciiTheme="minorHAnsi" w:hAnsiTheme="minorHAnsi"/>
            <w:lang w:val="en-GB"/>
          </w:rPr>
          <w:t>2024)016-e</w:t>
        </w:r>
      </w:hyperlink>
      <w:r w:rsidRPr="0015253B">
        <w:rPr>
          <w:rStyle w:val="Hyperlink"/>
          <w:rFonts w:asciiTheme="minorHAnsi" w:hAnsiTheme="minorHAnsi"/>
          <w:lang w:val="en-GB"/>
        </w:rPr>
        <w:br/>
      </w:r>
      <w:r w:rsidRPr="0015253B">
        <w:rPr>
          <w:rFonts w:cstheme="minorHAnsi"/>
          <w:sz w:val="20"/>
          <w:szCs w:val="20"/>
          <w:lang w:val="en-GB"/>
        </w:rPr>
        <w:t>Report on the relations between Parliament and the Government: confidence and responsibility, adopted by the Venice Commission at its 139th Plenary Session (Venice, 21-22 June 2024)</w:t>
      </w:r>
    </w:p>
    <w:p w14:paraId="62A1D3BA" w14:textId="5B7B4A95" w:rsidR="00F624D7" w:rsidRPr="00F624D7" w:rsidRDefault="00F624D7">
      <w:pPr>
        <w:rPr>
          <w:rFonts w:cs="Arial"/>
          <w:color w:val="FFFFFF" w:themeColor="background1"/>
          <w:sz w:val="22"/>
          <w:szCs w:val="22"/>
          <w:shd w:val="clear" w:color="auto" w:fill="1F3864" w:themeFill="accent1" w:themeFillShade="80"/>
          <w:lang w:val="en-GB"/>
        </w:rPr>
      </w:pPr>
    </w:p>
    <w:sectPr w:rsidR="00F624D7" w:rsidRPr="00F624D7" w:rsidSect="007B3B82">
      <w:footerReference w:type="default" r:id="rId27"/>
      <w:footerReference w:type="first" r:id="rId2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82BD7" w14:textId="77777777" w:rsidR="00364C56" w:rsidRDefault="00364C56" w:rsidP="00857FF1">
      <w:r>
        <w:separator/>
      </w:r>
    </w:p>
  </w:endnote>
  <w:endnote w:type="continuationSeparator" w:id="0">
    <w:p w14:paraId="7A77A972" w14:textId="77777777" w:rsidR="00364C56" w:rsidRDefault="00364C56"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AEDF7" w14:textId="77777777" w:rsidR="00364C56" w:rsidRDefault="00364C56" w:rsidP="00857FF1">
      <w:r>
        <w:separator/>
      </w:r>
    </w:p>
  </w:footnote>
  <w:footnote w:type="continuationSeparator" w:id="0">
    <w:p w14:paraId="3722711A" w14:textId="77777777" w:rsidR="00364C56" w:rsidRDefault="00364C56"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F49E3"/>
    <w:multiLevelType w:val="hybridMultilevel"/>
    <w:tmpl w:val="0BA03F8E"/>
    <w:lvl w:ilvl="0" w:tplc="D0C46D3C">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2"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6"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abstractNum w:abstractNumId="12" w15:restartNumberingAfterBreak="0">
    <w:nsid w:val="63CF4C52"/>
    <w:multiLevelType w:val="hybridMultilevel"/>
    <w:tmpl w:val="2A5A0CD4"/>
    <w:lvl w:ilvl="0" w:tplc="C1DCA93E">
      <w:numFmt w:val="bullet"/>
      <w:lvlText w:val="-"/>
      <w:lvlJc w:val="left"/>
      <w:pPr>
        <w:ind w:left="720" w:hanging="360"/>
      </w:pPr>
      <w:rPr>
        <w:rFonts w:ascii="Calibri" w:eastAsiaTheme="minorEastAsia" w:hAnsi="Calibri" w:cs="Calibri" w:hint="default"/>
        <w:i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672509F"/>
    <w:multiLevelType w:val="hybridMultilevel"/>
    <w:tmpl w:val="0D0AA1F8"/>
    <w:lvl w:ilvl="0" w:tplc="878C8D10">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5568883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4"/>
  </w:num>
  <w:num w:numId="3" w16cid:durableId="1419709812">
    <w:abstractNumId w:val="7"/>
  </w:num>
  <w:num w:numId="4" w16cid:durableId="535509000">
    <w:abstractNumId w:val="5"/>
  </w:num>
  <w:num w:numId="5" w16cid:durableId="189495804">
    <w:abstractNumId w:val="10"/>
  </w:num>
  <w:num w:numId="6" w16cid:durableId="2070767956">
    <w:abstractNumId w:val="6"/>
  </w:num>
  <w:num w:numId="7" w16cid:durableId="1484002443">
    <w:abstractNumId w:val="8"/>
  </w:num>
  <w:num w:numId="8" w16cid:durableId="1293099640">
    <w:abstractNumId w:val="8"/>
  </w:num>
  <w:num w:numId="9" w16cid:durableId="196361223">
    <w:abstractNumId w:val="3"/>
  </w:num>
  <w:num w:numId="10" w16cid:durableId="1182088185">
    <w:abstractNumId w:val="9"/>
  </w:num>
  <w:num w:numId="11" w16cid:durableId="360477782">
    <w:abstractNumId w:val="11"/>
  </w:num>
  <w:num w:numId="12" w16cid:durableId="1540388124">
    <w:abstractNumId w:val="1"/>
  </w:num>
  <w:num w:numId="13" w16cid:durableId="2102531636">
    <w:abstractNumId w:val="0"/>
  </w:num>
  <w:num w:numId="14" w16cid:durableId="1148788877">
    <w:abstractNumId w:val="12"/>
  </w:num>
  <w:num w:numId="15" w16cid:durableId="6676362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7AA5"/>
    <w:rsid w:val="00062CBC"/>
    <w:rsid w:val="00064AF2"/>
    <w:rsid w:val="000707C5"/>
    <w:rsid w:val="00084C0B"/>
    <w:rsid w:val="00085157"/>
    <w:rsid w:val="00095F4E"/>
    <w:rsid w:val="000A0236"/>
    <w:rsid w:val="000A2CBC"/>
    <w:rsid w:val="000B223F"/>
    <w:rsid w:val="000B4984"/>
    <w:rsid w:val="000C1783"/>
    <w:rsid w:val="000E51C1"/>
    <w:rsid w:val="000F73A4"/>
    <w:rsid w:val="001029E2"/>
    <w:rsid w:val="0011349E"/>
    <w:rsid w:val="00123EAE"/>
    <w:rsid w:val="0012499E"/>
    <w:rsid w:val="001257E8"/>
    <w:rsid w:val="001272D8"/>
    <w:rsid w:val="001517A3"/>
    <w:rsid w:val="00152FC1"/>
    <w:rsid w:val="00157DFE"/>
    <w:rsid w:val="001621AD"/>
    <w:rsid w:val="00167680"/>
    <w:rsid w:val="001708DF"/>
    <w:rsid w:val="00172847"/>
    <w:rsid w:val="00184BFB"/>
    <w:rsid w:val="00187CD1"/>
    <w:rsid w:val="00194CC7"/>
    <w:rsid w:val="001A0B36"/>
    <w:rsid w:val="001A0CF1"/>
    <w:rsid w:val="001C77D8"/>
    <w:rsid w:val="001D0AE0"/>
    <w:rsid w:val="001E0EB7"/>
    <w:rsid w:val="002027E7"/>
    <w:rsid w:val="002077C4"/>
    <w:rsid w:val="0021059A"/>
    <w:rsid w:val="00252DBE"/>
    <w:rsid w:val="00252F46"/>
    <w:rsid w:val="00254902"/>
    <w:rsid w:val="00255C44"/>
    <w:rsid w:val="00263456"/>
    <w:rsid w:val="00265693"/>
    <w:rsid w:val="002665BC"/>
    <w:rsid w:val="00267E73"/>
    <w:rsid w:val="00282225"/>
    <w:rsid w:val="0028366A"/>
    <w:rsid w:val="002864ED"/>
    <w:rsid w:val="00287289"/>
    <w:rsid w:val="002911B3"/>
    <w:rsid w:val="002A4E7E"/>
    <w:rsid w:val="002B2FF2"/>
    <w:rsid w:val="002C68B0"/>
    <w:rsid w:val="002D1BBF"/>
    <w:rsid w:val="002D3720"/>
    <w:rsid w:val="002D61AB"/>
    <w:rsid w:val="002E1CA9"/>
    <w:rsid w:val="002E779C"/>
    <w:rsid w:val="003048B6"/>
    <w:rsid w:val="003152F6"/>
    <w:rsid w:val="0033407D"/>
    <w:rsid w:val="00351BFE"/>
    <w:rsid w:val="00354D3F"/>
    <w:rsid w:val="003572C2"/>
    <w:rsid w:val="0036132D"/>
    <w:rsid w:val="00364C56"/>
    <w:rsid w:val="00365602"/>
    <w:rsid w:val="0036606F"/>
    <w:rsid w:val="00372B8F"/>
    <w:rsid w:val="00372F92"/>
    <w:rsid w:val="003732BD"/>
    <w:rsid w:val="00380DB3"/>
    <w:rsid w:val="003A5BC3"/>
    <w:rsid w:val="003E24E5"/>
    <w:rsid w:val="003F0C2C"/>
    <w:rsid w:val="004012A1"/>
    <w:rsid w:val="004013FD"/>
    <w:rsid w:val="00405191"/>
    <w:rsid w:val="00411F51"/>
    <w:rsid w:val="00424436"/>
    <w:rsid w:val="00424AE6"/>
    <w:rsid w:val="00434E92"/>
    <w:rsid w:val="00443197"/>
    <w:rsid w:val="00457269"/>
    <w:rsid w:val="00464735"/>
    <w:rsid w:val="00471625"/>
    <w:rsid w:val="0048725B"/>
    <w:rsid w:val="00491D94"/>
    <w:rsid w:val="00496B58"/>
    <w:rsid w:val="004A628B"/>
    <w:rsid w:val="004B2966"/>
    <w:rsid w:val="004B4189"/>
    <w:rsid w:val="004C29C8"/>
    <w:rsid w:val="004C37B3"/>
    <w:rsid w:val="004C7D34"/>
    <w:rsid w:val="004D4A7E"/>
    <w:rsid w:val="004D4CB4"/>
    <w:rsid w:val="004E1ACA"/>
    <w:rsid w:val="004E3023"/>
    <w:rsid w:val="004E72B6"/>
    <w:rsid w:val="00530EC5"/>
    <w:rsid w:val="0054551A"/>
    <w:rsid w:val="0056639A"/>
    <w:rsid w:val="0057123C"/>
    <w:rsid w:val="005728A3"/>
    <w:rsid w:val="00573CDC"/>
    <w:rsid w:val="005813CD"/>
    <w:rsid w:val="005837EC"/>
    <w:rsid w:val="00597295"/>
    <w:rsid w:val="005A3425"/>
    <w:rsid w:val="005B2725"/>
    <w:rsid w:val="005B37E9"/>
    <w:rsid w:val="005D4AD7"/>
    <w:rsid w:val="005D7294"/>
    <w:rsid w:val="005E17CB"/>
    <w:rsid w:val="005E1A73"/>
    <w:rsid w:val="005E381E"/>
    <w:rsid w:val="00600E03"/>
    <w:rsid w:val="00602398"/>
    <w:rsid w:val="0061214D"/>
    <w:rsid w:val="00636AF8"/>
    <w:rsid w:val="00647D6B"/>
    <w:rsid w:val="006502C5"/>
    <w:rsid w:val="00650853"/>
    <w:rsid w:val="0065310F"/>
    <w:rsid w:val="0065469C"/>
    <w:rsid w:val="0066401C"/>
    <w:rsid w:val="00680789"/>
    <w:rsid w:val="00683C6A"/>
    <w:rsid w:val="006871F9"/>
    <w:rsid w:val="006952AF"/>
    <w:rsid w:val="0069672E"/>
    <w:rsid w:val="0069684E"/>
    <w:rsid w:val="006B5A01"/>
    <w:rsid w:val="006B6601"/>
    <w:rsid w:val="006C5AF1"/>
    <w:rsid w:val="006C758C"/>
    <w:rsid w:val="006D3771"/>
    <w:rsid w:val="006D695E"/>
    <w:rsid w:val="006E3ED6"/>
    <w:rsid w:val="00702CE9"/>
    <w:rsid w:val="007269F0"/>
    <w:rsid w:val="007323D4"/>
    <w:rsid w:val="00734D8B"/>
    <w:rsid w:val="00742FA8"/>
    <w:rsid w:val="00744D22"/>
    <w:rsid w:val="00756962"/>
    <w:rsid w:val="0076072F"/>
    <w:rsid w:val="0076444E"/>
    <w:rsid w:val="00772288"/>
    <w:rsid w:val="007959C1"/>
    <w:rsid w:val="007A270E"/>
    <w:rsid w:val="007B3B82"/>
    <w:rsid w:val="007D198D"/>
    <w:rsid w:val="007D262D"/>
    <w:rsid w:val="007E2BE3"/>
    <w:rsid w:val="007F2A4E"/>
    <w:rsid w:val="007F352D"/>
    <w:rsid w:val="008131ED"/>
    <w:rsid w:val="00833496"/>
    <w:rsid w:val="00840C74"/>
    <w:rsid w:val="00857FF1"/>
    <w:rsid w:val="008617BA"/>
    <w:rsid w:val="00861CFB"/>
    <w:rsid w:val="0087426C"/>
    <w:rsid w:val="0088166F"/>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4796B"/>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58C"/>
    <w:rsid w:val="009D68A7"/>
    <w:rsid w:val="009E4C05"/>
    <w:rsid w:val="009F137B"/>
    <w:rsid w:val="00A0524A"/>
    <w:rsid w:val="00A36CCA"/>
    <w:rsid w:val="00A42F38"/>
    <w:rsid w:val="00A43E9B"/>
    <w:rsid w:val="00A476D7"/>
    <w:rsid w:val="00A52988"/>
    <w:rsid w:val="00A53917"/>
    <w:rsid w:val="00A54D19"/>
    <w:rsid w:val="00A70E18"/>
    <w:rsid w:val="00A7220C"/>
    <w:rsid w:val="00A726B1"/>
    <w:rsid w:val="00A745D4"/>
    <w:rsid w:val="00A75E87"/>
    <w:rsid w:val="00A82B5B"/>
    <w:rsid w:val="00A84BB2"/>
    <w:rsid w:val="00AA1BBD"/>
    <w:rsid w:val="00AA2156"/>
    <w:rsid w:val="00AA476A"/>
    <w:rsid w:val="00AB0698"/>
    <w:rsid w:val="00AB195E"/>
    <w:rsid w:val="00AC541D"/>
    <w:rsid w:val="00AC6FD7"/>
    <w:rsid w:val="00AD2617"/>
    <w:rsid w:val="00AD3544"/>
    <w:rsid w:val="00AD4A17"/>
    <w:rsid w:val="00AD5BD0"/>
    <w:rsid w:val="00AF2279"/>
    <w:rsid w:val="00AF4B2D"/>
    <w:rsid w:val="00AF5605"/>
    <w:rsid w:val="00B22E3E"/>
    <w:rsid w:val="00B2424D"/>
    <w:rsid w:val="00B35012"/>
    <w:rsid w:val="00B36582"/>
    <w:rsid w:val="00B51FAC"/>
    <w:rsid w:val="00B52587"/>
    <w:rsid w:val="00B807B6"/>
    <w:rsid w:val="00BD211A"/>
    <w:rsid w:val="00BD26EA"/>
    <w:rsid w:val="00BE1EE0"/>
    <w:rsid w:val="00BE2ADB"/>
    <w:rsid w:val="00BF5595"/>
    <w:rsid w:val="00C003A4"/>
    <w:rsid w:val="00C06969"/>
    <w:rsid w:val="00C06D56"/>
    <w:rsid w:val="00C45527"/>
    <w:rsid w:val="00C5444D"/>
    <w:rsid w:val="00C75135"/>
    <w:rsid w:val="00C80C6E"/>
    <w:rsid w:val="00C848FF"/>
    <w:rsid w:val="00C86F4B"/>
    <w:rsid w:val="00CC09C0"/>
    <w:rsid w:val="00CC0E4F"/>
    <w:rsid w:val="00CC5ABF"/>
    <w:rsid w:val="00CD24F2"/>
    <w:rsid w:val="00CD7F9C"/>
    <w:rsid w:val="00CF0660"/>
    <w:rsid w:val="00CF1C6F"/>
    <w:rsid w:val="00D15B02"/>
    <w:rsid w:val="00D20872"/>
    <w:rsid w:val="00D31EA3"/>
    <w:rsid w:val="00D36177"/>
    <w:rsid w:val="00D37016"/>
    <w:rsid w:val="00D447C9"/>
    <w:rsid w:val="00D45CD6"/>
    <w:rsid w:val="00D66D1D"/>
    <w:rsid w:val="00D96E9B"/>
    <w:rsid w:val="00DA55DC"/>
    <w:rsid w:val="00DB1AB7"/>
    <w:rsid w:val="00DC7320"/>
    <w:rsid w:val="00DF19D6"/>
    <w:rsid w:val="00DF7C08"/>
    <w:rsid w:val="00E13798"/>
    <w:rsid w:val="00E147EE"/>
    <w:rsid w:val="00E2087D"/>
    <w:rsid w:val="00E26C9B"/>
    <w:rsid w:val="00E27691"/>
    <w:rsid w:val="00E429AF"/>
    <w:rsid w:val="00E56906"/>
    <w:rsid w:val="00E81708"/>
    <w:rsid w:val="00E90AB0"/>
    <w:rsid w:val="00EA39A6"/>
    <w:rsid w:val="00ED1080"/>
    <w:rsid w:val="00ED2EDB"/>
    <w:rsid w:val="00ED7B5B"/>
    <w:rsid w:val="00EE24A2"/>
    <w:rsid w:val="00EF5D3B"/>
    <w:rsid w:val="00F070DD"/>
    <w:rsid w:val="00F3151D"/>
    <w:rsid w:val="00F375C2"/>
    <w:rsid w:val="00F448D1"/>
    <w:rsid w:val="00F5679C"/>
    <w:rsid w:val="00F624D7"/>
    <w:rsid w:val="00F71177"/>
    <w:rsid w:val="00F7793C"/>
    <w:rsid w:val="00F8213F"/>
    <w:rsid w:val="00F847EB"/>
    <w:rsid w:val="00F91B36"/>
    <w:rsid w:val="00F973E9"/>
    <w:rsid w:val="00FA480D"/>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16351410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07133325">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896354412">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075474014">
      <w:bodyDiv w:val="1"/>
      <w:marLeft w:val="0"/>
      <w:marRight w:val="0"/>
      <w:marTop w:val="0"/>
      <w:marBottom w:val="0"/>
      <w:divBdr>
        <w:top w:val="none" w:sz="0" w:space="0" w:color="auto"/>
        <w:left w:val="none" w:sz="0" w:space="0" w:color="auto"/>
        <w:bottom w:val="none" w:sz="0" w:space="0" w:color="auto"/>
        <w:right w:val="none" w:sz="0" w:space="0" w:color="auto"/>
      </w:divBdr>
    </w:div>
    <w:div w:id="1082795875">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037148160">
      <w:bodyDiv w:val="1"/>
      <w:marLeft w:val="0"/>
      <w:marRight w:val="0"/>
      <w:marTop w:val="0"/>
      <w:marBottom w:val="0"/>
      <w:divBdr>
        <w:top w:val="none" w:sz="0" w:space="0" w:color="auto"/>
        <w:left w:val="none" w:sz="0" w:space="0" w:color="auto"/>
        <w:bottom w:val="none" w:sz="0" w:space="0" w:color="auto"/>
        <w:right w:val="none" w:sz="0" w:space="0" w:color="auto"/>
      </w:divBdr>
    </w:div>
    <w:div w:id="2109538858">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hyperlink" Target="https://search.coe.int/cm/eng" TargetMode="External"/><Relationship Id="rId26" Type="http://schemas.openxmlformats.org/officeDocument/2006/relationships/hyperlink" Target="https://venice.coe.int/webforms/documents/?pdf=CDL-AD(2024)016-e" TargetMode="External"/><Relationship Id="rId3" Type="http://schemas.openxmlformats.org/officeDocument/2006/relationships/styles" Target="styles.xml"/><Relationship Id="rId21" Type="http://schemas.openxmlformats.org/officeDocument/2006/relationships/hyperlink" Target="https://search.coe.int/cm/Pages/result_details.aspx?Reference=DH-DD(2024)31" TargetMode="External"/><Relationship Id="rId7" Type="http://schemas.openxmlformats.org/officeDocument/2006/relationships/endnotes" Target="endnotes.xml"/><Relationship Id="rId12" Type="http://schemas.openxmlformats.org/officeDocument/2006/relationships/hyperlink" Target="https://rm.coe.int/france-eu-scoreboard-country-fiches-2022-data/1680b065f4" TargetMode="External"/><Relationship Id="rId17" Type="http://schemas.openxmlformats.org/officeDocument/2006/relationships/hyperlink" Target="https://hudoc.exec.coe.int/ENG" TargetMode="External"/><Relationship Id="rId25" Type="http://schemas.openxmlformats.org/officeDocument/2006/relationships/hyperlink" Target="https://venice.coe.int/webforms/documents/?pdf=CDL-AD(2023)024-e" TargetMode="External"/><Relationship Id="rId2" Type="http://schemas.openxmlformats.org/officeDocument/2006/relationships/numbering" Target="numbering.xml"/><Relationship Id="rId16" Type="http://schemas.openxmlformats.org/officeDocument/2006/relationships/hyperlink" Target="https://hudoc.exec.coe.int/ENG" TargetMode="External"/><Relationship Id="rId20" Type="http://schemas.openxmlformats.org/officeDocument/2006/relationships/hyperlink" Target="https://hudoc.exec.coe.int/EN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france/1680b1df66" TargetMode="External"/><Relationship Id="rId24" Type="http://schemas.openxmlformats.org/officeDocument/2006/relationships/hyperlink" Target="https://rm.coe.int/c198-cop-2024-17-cop-fur-art-7-and-19-en/1680b24d9d" TargetMode="External"/><Relationship Id="rId5" Type="http://schemas.openxmlformats.org/officeDocument/2006/relationships/webSettings" Target="webSettings.xml"/><Relationship Id="rId15" Type="http://schemas.openxmlformats.org/officeDocument/2006/relationships/hyperlink" Target="https://search.coe.int/cm/Pages/result_details.aspx?ObjectId=0900001680ac8c64" TargetMode="External"/><Relationship Id="rId23" Type="http://schemas.openxmlformats.org/officeDocument/2006/relationships/hyperlink" Target="https://rm.coe.int/second-addendum-to-the-second-compliance-report-france-4th-evaluation-/1680ae51d2" TargetMode="External"/><Relationship Id="rId28" Type="http://schemas.openxmlformats.org/officeDocument/2006/relationships/footer" Target="footer2.xml"/><Relationship Id="rId10" Type="http://schemas.openxmlformats.org/officeDocument/2006/relationships/hyperlink" Target="http://www.coe.int/en/web/cepej/cepej-stat" TargetMode="External"/><Relationship Id="rId19" Type="http://schemas.openxmlformats.org/officeDocument/2006/relationships/hyperlink" Target="https://hudoc.exec.coe.int/ENG"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hudoc.exec.coe.int/ENG" TargetMode="External"/><Relationship Id="rId22" Type="http://schemas.openxmlformats.org/officeDocument/2006/relationships/hyperlink" Target="https://rm.coe.int/fifth-evaluation-round-preventing-corruption-and-promoting-integrity-i/1680af36e8"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902</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7</cp:revision>
  <dcterms:created xsi:type="dcterms:W3CDTF">2025-01-20T14:38:00Z</dcterms:created>
  <dcterms:modified xsi:type="dcterms:W3CDTF">2025-02-03T07:06:00Z</dcterms:modified>
</cp:coreProperties>
</file>